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222" w:rsidRDefault="00856222" w:rsidP="00856222">
      <w:pPr>
        <w:overflowPunct w:val="0"/>
        <w:spacing w:line="600" w:lineRule="exact"/>
        <w:rPr>
          <w:rFonts w:ascii="黑体" w:eastAsia="黑体" w:hAnsi="黑体" w:cs="黑体"/>
          <w:sz w:val="32"/>
          <w:szCs w:val="24"/>
        </w:rPr>
      </w:pPr>
      <w:r>
        <w:rPr>
          <w:rFonts w:ascii="黑体" w:eastAsia="黑体" w:hAnsi="黑体" w:cs="黑体" w:hint="eastAsia"/>
          <w:sz w:val="32"/>
          <w:szCs w:val="24"/>
        </w:rPr>
        <w:t>附件1</w:t>
      </w:r>
    </w:p>
    <w:p w:rsidR="00856222" w:rsidRDefault="00856222" w:rsidP="00856222">
      <w:pPr>
        <w:overflowPunct w:val="0"/>
        <w:spacing w:line="600" w:lineRule="exact"/>
        <w:jc w:val="center"/>
        <w:rPr>
          <w:rFonts w:ascii="方正小标宋简体" w:eastAsia="方正小标宋简体" w:hAnsi="方正小标宋简体" w:cs="方正小标宋简体"/>
          <w:sz w:val="44"/>
          <w:szCs w:val="36"/>
        </w:rPr>
      </w:pPr>
      <w:r>
        <w:rPr>
          <w:rFonts w:ascii="方正小标宋简体" w:eastAsia="方正小标宋简体" w:hAnsi="方正小标宋简体" w:cs="方正小标宋简体" w:hint="eastAsia"/>
          <w:sz w:val="44"/>
          <w:szCs w:val="36"/>
        </w:rPr>
        <w:t>《股东来了》2021投资者权益</w:t>
      </w:r>
    </w:p>
    <w:p w:rsidR="00856222" w:rsidRDefault="00856222" w:rsidP="00856222">
      <w:pPr>
        <w:overflowPunct w:val="0"/>
        <w:spacing w:line="600" w:lineRule="exact"/>
        <w:jc w:val="center"/>
        <w:rPr>
          <w:rFonts w:ascii="方正小标宋简体" w:eastAsia="方正小标宋简体" w:hAnsi="方正小标宋简体" w:cs="方正小标宋简体"/>
          <w:sz w:val="44"/>
          <w:szCs w:val="36"/>
        </w:rPr>
      </w:pPr>
      <w:r>
        <w:rPr>
          <w:rFonts w:ascii="方正小标宋简体" w:eastAsia="方正小标宋简体" w:hAnsi="方正小标宋简体" w:cs="方正小标宋简体" w:hint="eastAsia"/>
          <w:sz w:val="44"/>
          <w:szCs w:val="36"/>
        </w:rPr>
        <w:t>知识竞赛总体方案</w:t>
      </w:r>
    </w:p>
    <w:p w:rsidR="00856222" w:rsidRDefault="00856222" w:rsidP="00856222">
      <w:pPr>
        <w:overflowPunct w:val="0"/>
        <w:spacing w:line="600" w:lineRule="exact"/>
        <w:rPr>
          <w:rFonts w:eastAsia="仿宋"/>
        </w:rPr>
      </w:pP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2021年是“十四五”规划开局之年，为进一步落实证监会党委关于资本市场人民性要求和保护投资者合法权益的职责，在会办公厅、</w:t>
      </w:r>
      <w:proofErr w:type="gramStart"/>
      <w:r>
        <w:rPr>
          <w:rFonts w:ascii="仿宋_GB2312" w:eastAsia="仿宋_GB2312" w:hAnsi="仿宋_GB2312" w:cs="仿宋_GB2312" w:hint="eastAsia"/>
          <w:sz w:val="32"/>
          <w:szCs w:val="32"/>
        </w:rPr>
        <w:t>投保局</w:t>
      </w:r>
      <w:proofErr w:type="gramEnd"/>
      <w:r>
        <w:rPr>
          <w:rFonts w:ascii="仿宋_GB2312" w:eastAsia="仿宋_GB2312" w:hAnsi="仿宋_GB2312" w:cs="仿宋_GB2312" w:hint="eastAsia"/>
          <w:sz w:val="32"/>
          <w:szCs w:val="32"/>
        </w:rPr>
        <w:t>指导下，投服中心将联合广东、四川、湖北、内蒙古、海南、西藏六证监局共同举办《股东来了》2021投资者权益知识竞赛，面向广大中小投资者普及权益知识，示范引领全面知权、积极行权、依法维权。</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股东来了》2021将在全国设立广东、四川、湖北、内蒙古、海南、西藏六大片区，覆盖全国36个赛区及港澳台地区。活动分为网络初赛与电视决赛两个阶段，网络初赛将于5月中旬启动，持续开展6周线上答题；总决赛节目将于湖南卫视、芒果TV播出。</w:t>
      </w:r>
    </w:p>
    <w:p w:rsidR="00856222" w:rsidRDefault="00856222" w:rsidP="00856222">
      <w:pPr>
        <w:pStyle w:val="1"/>
        <w:overflowPunct w:val="0"/>
      </w:pPr>
      <w:r>
        <w:t>一、活动组织架构</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eastAsia="楷体"/>
          <w:sz w:val="32"/>
          <w:szCs w:val="24"/>
        </w:rPr>
        <w:t>（一）指导单位：</w:t>
      </w:r>
      <w:r>
        <w:rPr>
          <w:rFonts w:ascii="仿宋_GB2312" w:eastAsia="仿宋_GB2312" w:hAnsi="仿宋_GB2312" w:cs="仿宋_GB2312"/>
          <w:sz w:val="32"/>
          <w:szCs w:val="32"/>
        </w:rPr>
        <w:t>中国证监会办公厅、投资者保护局</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eastAsia="楷体"/>
          <w:sz w:val="32"/>
          <w:szCs w:val="24"/>
        </w:rPr>
        <w:t>（二）主办方：</w:t>
      </w:r>
      <w:r>
        <w:rPr>
          <w:rFonts w:ascii="仿宋_GB2312" w:eastAsia="仿宋_GB2312" w:hAnsi="仿宋_GB2312" w:cs="仿宋_GB2312"/>
          <w:sz w:val="32"/>
          <w:szCs w:val="32"/>
        </w:rPr>
        <w:t>中证中小投资者服务中心</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eastAsia="楷体"/>
          <w:sz w:val="32"/>
          <w:szCs w:val="24"/>
        </w:rPr>
        <w:t>（三）联合主办方：</w:t>
      </w:r>
      <w:r>
        <w:rPr>
          <w:rFonts w:ascii="仿宋_GB2312" w:eastAsia="仿宋_GB2312" w:hAnsi="仿宋_GB2312" w:cs="仿宋_GB2312" w:hint="eastAsia"/>
          <w:sz w:val="32"/>
          <w:szCs w:val="32"/>
        </w:rPr>
        <w:t>广东证监局、四川证监局、湖北证监局、内蒙古证监局、海南证监局、西藏证监局</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eastAsia="楷体" w:hint="eastAsia"/>
          <w:sz w:val="32"/>
          <w:szCs w:val="24"/>
        </w:rPr>
        <w:t>（四）</w:t>
      </w:r>
      <w:proofErr w:type="gramStart"/>
      <w:r>
        <w:rPr>
          <w:rFonts w:eastAsia="楷体" w:hint="eastAsia"/>
          <w:sz w:val="32"/>
          <w:szCs w:val="24"/>
        </w:rPr>
        <w:t>决赛主办</w:t>
      </w:r>
      <w:proofErr w:type="gramEnd"/>
      <w:r>
        <w:rPr>
          <w:rFonts w:eastAsia="楷体" w:hint="eastAsia"/>
          <w:sz w:val="32"/>
          <w:szCs w:val="24"/>
        </w:rPr>
        <w:t>方：</w:t>
      </w:r>
      <w:proofErr w:type="gramStart"/>
      <w:r>
        <w:rPr>
          <w:rFonts w:ascii="仿宋_GB2312" w:eastAsia="仿宋_GB2312" w:hAnsi="仿宋_GB2312" w:cs="仿宋_GB2312" w:hint="eastAsia"/>
          <w:sz w:val="32"/>
          <w:szCs w:val="32"/>
        </w:rPr>
        <w:t>芒果超媒</w:t>
      </w:r>
      <w:proofErr w:type="gramEnd"/>
    </w:p>
    <w:p w:rsidR="00856222" w:rsidRDefault="00856222" w:rsidP="00856222">
      <w:pPr>
        <w:spacing w:line="560" w:lineRule="exact"/>
        <w:ind w:firstLineChars="200" w:firstLine="640"/>
        <w:rPr>
          <w:rFonts w:ascii="仿宋_GB2312" w:eastAsia="仿宋_GB2312" w:hAnsi="仿宋_GB2312" w:cs="仿宋_GB2312"/>
          <w:sz w:val="32"/>
          <w:szCs w:val="32"/>
        </w:rPr>
      </w:pPr>
      <w:r>
        <w:rPr>
          <w:rFonts w:eastAsia="楷体"/>
          <w:sz w:val="32"/>
          <w:szCs w:val="24"/>
        </w:rPr>
        <w:t>（</w:t>
      </w:r>
      <w:r>
        <w:rPr>
          <w:rFonts w:eastAsia="楷体" w:hint="eastAsia"/>
          <w:sz w:val="32"/>
          <w:szCs w:val="24"/>
        </w:rPr>
        <w:t>五</w:t>
      </w:r>
      <w:r>
        <w:rPr>
          <w:rFonts w:eastAsia="楷体"/>
          <w:sz w:val="32"/>
          <w:szCs w:val="24"/>
        </w:rPr>
        <w:t>）协办方：</w:t>
      </w:r>
      <w:r>
        <w:rPr>
          <w:rFonts w:ascii="仿宋_GB2312" w:eastAsia="仿宋_GB2312" w:hAnsi="仿宋_GB2312" w:cs="仿宋_GB2312" w:hint="eastAsia"/>
          <w:sz w:val="32"/>
          <w:szCs w:val="32"/>
        </w:rPr>
        <w:t>其他</w:t>
      </w:r>
      <w:r>
        <w:rPr>
          <w:rFonts w:ascii="仿宋_GB2312" w:eastAsia="仿宋_GB2312" w:hAnsi="仿宋_GB2312" w:cs="仿宋_GB2312"/>
          <w:sz w:val="32"/>
          <w:szCs w:val="32"/>
        </w:rPr>
        <w:t>各地证监局、各地行业协会</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eastAsia="楷体"/>
          <w:sz w:val="32"/>
          <w:szCs w:val="24"/>
        </w:rPr>
        <w:t>（</w:t>
      </w:r>
      <w:r>
        <w:rPr>
          <w:rFonts w:eastAsia="楷体" w:hint="eastAsia"/>
          <w:sz w:val="32"/>
          <w:szCs w:val="24"/>
        </w:rPr>
        <w:t>六</w:t>
      </w:r>
      <w:r>
        <w:rPr>
          <w:rFonts w:eastAsia="楷体"/>
          <w:sz w:val="32"/>
          <w:szCs w:val="24"/>
        </w:rPr>
        <w:t>）战队命名方：</w:t>
      </w:r>
      <w:r>
        <w:rPr>
          <w:rFonts w:ascii="仿宋_GB2312" w:eastAsia="仿宋_GB2312" w:hAnsi="仿宋_GB2312" w:cs="仿宋_GB2312"/>
          <w:sz w:val="32"/>
          <w:szCs w:val="32"/>
        </w:rPr>
        <w:t>证券公司、上市公司、基金公司等市场机构</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eastAsia="楷体"/>
          <w:sz w:val="32"/>
          <w:szCs w:val="24"/>
        </w:rPr>
        <w:lastRenderedPageBreak/>
        <w:t>（</w:t>
      </w:r>
      <w:r>
        <w:rPr>
          <w:rFonts w:eastAsia="楷体" w:hint="eastAsia"/>
          <w:sz w:val="32"/>
          <w:szCs w:val="24"/>
        </w:rPr>
        <w:t>七</w:t>
      </w:r>
      <w:r>
        <w:rPr>
          <w:rFonts w:eastAsia="楷体"/>
          <w:sz w:val="32"/>
          <w:szCs w:val="24"/>
        </w:rPr>
        <w:t>）媒体支持：</w:t>
      </w:r>
      <w:r>
        <w:rPr>
          <w:rFonts w:ascii="仿宋_GB2312" w:eastAsia="仿宋_GB2312" w:hAnsi="仿宋_GB2312" w:cs="仿宋_GB2312" w:hint="eastAsia"/>
          <w:sz w:val="32"/>
          <w:szCs w:val="32"/>
        </w:rPr>
        <w:t>四大证券报、证券市场周刊、新华网、新京报、全景网、东方财富网、芒果TV以及相关热门APP平台及</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等</w:t>
      </w:r>
    </w:p>
    <w:p w:rsidR="00856222" w:rsidRDefault="00856222" w:rsidP="00856222">
      <w:pPr>
        <w:pStyle w:val="1"/>
        <w:overflowPunct w:val="0"/>
      </w:pPr>
      <w:r>
        <w:t>二、时间安排</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eastAsia="楷体"/>
          <w:sz w:val="32"/>
          <w:szCs w:val="24"/>
        </w:rPr>
        <w:t>（一）周期：</w:t>
      </w:r>
      <w:r>
        <w:rPr>
          <w:rFonts w:ascii="仿宋_GB2312" w:eastAsia="仿宋_GB2312" w:hAnsi="仿宋_GB2312" w:cs="仿宋_GB2312" w:hint="eastAsia"/>
          <w:sz w:val="32"/>
          <w:szCs w:val="32"/>
        </w:rPr>
        <w:t>5月至9月</w:t>
      </w:r>
    </w:p>
    <w:p w:rsidR="00856222" w:rsidRDefault="00856222" w:rsidP="00856222">
      <w:pPr>
        <w:spacing w:line="560" w:lineRule="exact"/>
        <w:ind w:firstLineChars="200" w:firstLine="640"/>
        <w:rPr>
          <w:rFonts w:eastAsia="楷体"/>
          <w:sz w:val="32"/>
          <w:szCs w:val="24"/>
        </w:rPr>
      </w:pPr>
      <w:r>
        <w:rPr>
          <w:rFonts w:eastAsia="楷体"/>
          <w:sz w:val="32"/>
          <w:szCs w:val="24"/>
        </w:rPr>
        <w:t>（二）</w:t>
      </w:r>
      <w:r>
        <w:rPr>
          <w:rFonts w:eastAsia="楷体" w:hint="eastAsia"/>
          <w:sz w:val="32"/>
          <w:szCs w:val="24"/>
        </w:rPr>
        <w:t>总体安排</w:t>
      </w:r>
      <w:r>
        <w:rPr>
          <w:rFonts w:eastAsia="楷体"/>
          <w:sz w:val="32"/>
          <w:szCs w:val="24"/>
        </w:rPr>
        <w:t>：</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1.初赛：5月中旬——6月底（6周）</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通过H5游戏页面进行线上答题</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2.战队组建：6月底——8月</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六大片区组建战队，选拔战队成员</w:t>
      </w:r>
    </w:p>
    <w:p w:rsidR="00856222" w:rsidRDefault="00856222" w:rsidP="0085622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3.训练营及决赛：8月</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以战队为单位录制一场电视总决赛</w:t>
      </w:r>
    </w:p>
    <w:p w:rsidR="00856222" w:rsidRDefault="00856222" w:rsidP="0085622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4.决赛播出：拟于9月在湖南卫视、芒果TV播出</w:t>
      </w:r>
    </w:p>
    <w:p w:rsidR="00856222" w:rsidRDefault="00856222" w:rsidP="00856222">
      <w:pPr>
        <w:pStyle w:val="1"/>
        <w:overflowPunct w:val="0"/>
      </w:pPr>
      <w:r>
        <w:t>三、片区划分</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本次活动设置广东、四川、湖北、内蒙古、海南、西藏六大片区，覆盖36个赛区及港澳台地区，具体情况如下：</w:t>
      </w:r>
    </w:p>
    <w:tbl>
      <w:tblPr>
        <w:tblStyle w:val="a3"/>
        <w:tblW w:w="0" w:type="auto"/>
        <w:tblLook w:val="04A0"/>
      </w:tblPr>
      <w:tblGrid>
        <w:gridCol w:w="1210"/>
        <w:gridCol w:w="6193"/>
        <w:gridCol w:w="1119"/>
      </w:tblGrid>
      <w:tr w:rsidR="00856222" w:rsidTr="00947953">
        <w:trPr>
          <w:trHeight w:val="726"/>
        </w:trPr>
        <w:tc>
          <w:tcPr>
            <w:tcW w:w="1238" w:type="dxa"/>
            <w:noWrap/>
            <w:vAlign w:val="center"/>
          </w:tcPr>
          <w:p w:rsidR="00856222" w:rsidRDefault="00856222" w:rsidP="00947953">
            <w:pPr>
              <w:kinsoku w:val="0"/>
              <w:overflowPunct w:val="0"/>
              <w:autoSpaceDE w:val="0"/>
              <w:autoSpaceDN w:val="0"/>
              <w:jc w:val="center"/>
              <w:rPr>
                <w:rFonts w:ascii="仿宋" w:eastAsia="仿宋" w:hAnsi="仿宋" w:cs="仿宋"/>
                <w:sz w:val="32"/>
                <w:szCs w:val="32"/>
              </w:rPr>
            </w:pPr>
            <w:r>
              <w:rPr>
                <w:rFonts w:ascii="仿宋" w:eastAsia="仿宋" w:hAnsi="仿宋" w:cs="仿宋" w:hint="eastAsia"/>
                <w:sz w:val="32"/>
                <w:szCs w:val="32"/>
              </w:rPr>
              <w:t>片区</w:t>
            </w:r>
          </w:p>
        </w:tc>
        <w:tc>
          <w:tcPr>
            <w:tcW w:w="6360" w:type="dxa"/>
            <w:noWrap/>
            <w:vAlign w:val="center"/>
          </w:tcPr>
          <w:p w:rsidR="00856222" w:rsidRDefault="00856222" w:rsidP="00947953">
            <w:pPr>
              <w:kinsoku w:val="0"/>
              <w:overflowPunct w:val="0"/>
              <w:autoSpaceDE w:val="0"/>
              <w:autoSpaceDN w:val="0"/>
              <w:jc w:val="center"/>
              <w:rPr>
                <w:rFonts w:ascii="仿宋" w:eastAsia="仿宋" w:hAnsi="仿宋" w:cs="仿宋"/>
                <w:sz w:val="32"/>
                <w:szCs w:val="32"/>
              </w:rPr>
            </w:pPr>
            <w:r>
              <w:rPr>
                <w:rFonts w:ascii="仿宋" w:eastAsia="仿宋" w:hAnsi="仿宋" w:cs="仿宋" w:hint="eastAsia"/>
                <w:sz w:val="32"/>
                <w:szCs w:val="32"/>
              </w:rPr>
              <w:t>覆盖区域</w:t>
            </w:r>
          </w:p>
        </w:tc>
        <w:tc>
          <w:tcPr>
            <w:tcW w:w="1144" w:type="dxa"/>
            <w:noWrap/>
            <w:vAlign w:val="center"/>
          </w:tcPr>
          <w:p w:rsidR="00856222" w:rsidRDefault="00856222" w:rsidP="00947953">
            <w:pPr>
              <w:kinsoku w:val="0"/>
              <w:overflowPunct w:val="0"/>
              <w:autoSpaceDE w:val="0"/>
              <w:autoSpaceDN w:val="0"/>
              <w:jc w:val="center"/>
              <w:rPr>
                <w:rFonts w:ascii="仿宋" w:eastAsia="仿宋" w:hAnsi="仿宋" w:cs="仿宋"/>
                <w:sz w:val="32"/>
                <w:szCs w:val="32"/>
              </w:rPr>
            </w:pPr>
            <w:r>
              <w:rPr>
                <w:rFonts w:ascii="仿宋" w:eastAsia="仿宋" w:hAnsi="仿宋" w:cs="仿宋" w:hint="eastAsia"/>
                <w:sz w:val="32"/>
                <w:szCs w:val="32"/>
              </w:rPr>
              <w:t>数量</w:t>
            </w:r>
          </w:p>
        </w:tc>
      </w:tr>
      <w:tr w:rsidR="00856222" w:rsidTr="00947953">
        <w:trPr>
          <w:trHeight w:val="1081"/>
        </w:trPr>
        <w:tc>
          <w:tcPr>
            <w:tcW w:w="1238" w:type="dxa"/>
            <w:noWrap/>
            <w:vAlign w:val="center"/>
          </w:tcPr>
          <w:p w:rsidR="00856222" w:rsidRDefault="00856222" w:rsidP="00947953">
            <w:pPr>
              <w:kinsoku w:val="0"/>
              <w:overflowPunct w:val="0"/>
              <w:autoSpaceDE w:val="0"/>
              <w:autoSpaceDN w:val="0"/>
              <w:jc w:val="center"/>
              <w:rPr>
                <w:rFonts w:ascii="仿宋" w:eastAsia="仿宋" w:hAnsi="仿宋" w:cs="仿宋"/>
                <w:sz w:val="32"/>
                <w:szCs w:val="32"/>
              </w:rPr>
            </w:pPr>
            <w:r>
              <w:rPr>
                <w:rFonts w:ascii="仿宋" w:eastAsia="仿宋" w:hAnsi="仿宋" w:cs="仿宋" w:hint="eastAsia"/>
                <w:sz w:val="32"/>
                <w:szCs w:val="32"/>
              </w:rPr>
              <w:t>广东</w:t>
            </w:r>
          </w:p>
        </w:tc>
        <w:tc>
          <w:tcPr>
            <w:tcW w:w="6360" w:type="dxa"/>
            <w:noWrap/>
            <w:vAlign w:val="center"/>
          </w:tcPr>
          <w:p w:rsidR="00856222" w:rsidRDefault="00856222" w:rsidP="00947953">
            <w:pPr>
              <w:kinsoku w:val="0"/>
              <w:overflowPunct w:val="0"/>
              <w:autoSpaceDE w:val="0"/>
              <w:autoSpaceDN w:val="0"/>
              <w:rPr>
                <w:rFonts w:ascii="仿宋" w:eastAsia="仿宋" w:hAnsi="仿宋" w:cs="仿宋"/>
                <w:sz w:val="32"/>
                <w:szCs w:val="32"/>
              </w:rPr>
            </w:pPr>
            <w:r>
              <w:rPr>
                <w:rFonts w:ascii="仿宋" w:eastAsia="仿宋" w:hAnsi="仿宋" w:cs="仿宋" w:hint="eastAsia"/>
                <w:sz w:val="32"/>
                <w:szCs w:val="32"/>
              </w:rPr>
              <w:t>广东、福建、广西、云南、厦门、香港、澳门、台湾</w:t>
            </w:r>
          </w:p>
        </w:tc>
        <w:tc>
          <w:tcPr>
            <w:tcW w:w="1144" w:type="dxa"/>
            <w:noWrap/>
            <w:vAlign w:val="center"/>
          </w:tcPr>
          <w:p w:rsidR="00856222" w:rsidRDefault="00856222" w:rsidP="00947953">
            <w:pPr>
              <w:kinsoku w:val="0"/>
              <w:overflowPunct w:val="0"/>
              <w:autoSpaceDE w:val="0"/>
              <w:autoSpaceDN w:val="0"/>
              <w:jc w:val="center"/>
              <w:rPr>
                <w:rFonts w:ascii="仿宋" w:eastAsia="仿宋" w:hAnsi="仿宋" w:cs="仿宋"/>
                <w:sz w:val="32"/>
                <w:szCs w:val="32"/>
              </w:rPr>
            </w:pPr>
            <w:r>
              <w:rPr>
                <w:rFonts w:ascii="仿宋" w:eastAsia="仿宋" w:hAnsi="仿宋" w:cs="仿宋" w:hint="eastAsia"/>
                <w:sz w:val="32"/>
                <w:szCs w:val="32"/>
              </w:rPr>
              <w:t>8</w:t>
            </w:r>
          </w:p>
        </w:tc>
      </w:tr>
      <w:tr w:rsidR="00856222" w:rsidTr="00947953">
        <w:trPr>
          <w:trHeight w:val="1081"/>
        </w:trPr>
        <w:tc>
          <w:tcPr>
            <w:tcW w:w="1238" w:type="dxa"/>
            <w:noWrap/>
            <w:vAlign w:val="center"/>
          </w:tcPr>
          <w:p w:rsidR="00856222" w:rsidRDefault="00856222" w:rsidP="00947953">
            <w:pPr>
              <w:kinsoku w:val="0"/>
              <w:overflowPunct w:val="0"/>
              <w:autoSpaceDE w:val="0"/>
              <w:autoSpaceDN w:val="0"/>
              <w:jc w:val="center"/>
              <w:rPr>
                <w:rFonts w:ascii="仿宋" w:eastAsia="仿宋" w:hAnsi="仿宋" w:cs="仿宋"/>
                <w:sz w:val="32"/>
                <w:szCs w:val="32"/>
              </w:rPr>
            </w:pPr>
            <w:r>
              <w:rPr>
                <w:rFonts w:ascii="仿宋" w:eastAsia="仿宋" w:hAnsi="仿宋" w:cs="仿宋" w:hint="eastAsia"/>
                <w:sz w:val="32"/>
                <w:szCs w:val="32"/>
              </w:rPr>
              <w:t>四川</w:t>
            </w:r>
          </w:p>
        </w:tc>
        <w:tc>
          <w:tcPr>
            <w:tcW w:w="6360" w:type="dxa"/>
            <w:noWrap/>
            <w:vAlign w:val="center"/>
          </w:tcPr>
          <w:p w:rsidR="00856222" w:rsidRDefault="00856222" w:rsidP="00947953">
            <w:pPr>
              <w:kinsoku w:val="0"/>
              <w:overflowPunct w:val="0"/>
              <w:autoSpaceDE w:val="0"/>
              <w:autoSpaceDN w:val="0"/>
              <w:rPr>
                <w:rFonts w:ascii="仿宋" w:eastAsia="仿宋" w:hAnsi="仿宋" w:cs="仿宋"/>
                <w:sz w:val="32"/>
                <w:szCs w:val="32"/>
              </w:rPr>
            </w:pPr>
            <w:r>
              <w:rPr>
                <w:rFonts w:ascii="仿宋" w:eastAsia="仿宋" w:hAnsi="仿宋" w:cs="仿宋" w:hint="eastAsia"/>
                <w:sz w:val="32"/>
                <w:szCs w:val="32"/>
              </w:rPr>
              <w:t>四川、浙江、重庆、贵州、陕西</w:t>
            </w:r>
          </w:p>
        </w:tc>
        <w:tc>
          <w:tcPr>
            <w:tcW w:w="1144" w:type="dxa"/>
            <w:noWrap/>
            <w:vAlign w:val="center"/>
          </w:tcPr>
          <w:p w:rsidR="00856222" w:rsidRDefault="00856222" w:rsidP="00947953">
            <w:pPr>
              <w:kinsoku w:val="0"/>
              <w:overflowPunct w:val="0"/>
              <w:autoSpaceDE w:val="0"/>
              <w:autoSpaceDN w:val="0"/>
              <w:jc w:val="center"/>
              <w:rPr>
                <w:rFonts w:ascii="仿宋" w:eastAsia="仿宋" w:hAnsi="仿宋" w:cs="仿宋"/>
                <w:sz w:val="32"/>
                <w:szCs w:val="32"/>
              </w:rPr>
            </w:pPr>
            <w:r>
              <w:rPr>
                <w:rFonts w:ascii="仿宋" w:eastAsia="仿宋" w:hAnsi="仿宋" w:cs="仿宋" w:hint="eastAsia"/>
                <w:sz w:val="32"/>
                <w:szCs w:val="32"/>
              </w:rPr>
              <w:t>5</w:t>
            </w:r>
          </w:p>
        </w:tc>
      </w:tr>
      <w:tr w:rsidR="00856222" w:rsidTr="00947953">
        <w:trPr>
          <w:trHeight w:val="1081"/>
        </w:trPr>
        <w:tc>
          <w:tcPr>
            <w:tcW w:w="1238" w:type="dxa"/>
            <w:noWrap/>
            <w:vAlign w:val="center"/>
          </w:tcPr>
          <w:p w:rsidR="00856222" w:rsidRDefault="00856222" w:rsidP="00947953">
            <w:pPr>
              <w:kinsoku w:val="0"/>
              <w:overflowPunct w:val="0"/>
              <w:autoSpaceDE w:val="0"/>
              <w:autoSpaceDN w:val="0"/>
              <w:jc w:val="center"/>
              <w:rPr>
                <w:rFonts w:ascii="仿宋" w:eastAsia="仿宋" w:hAnsi="仿宋" w:cs="仿宋"/>
                <w:sz w:val="32"/>
                <w:szCs w:val="32"/>
              </w:rPr>
            </w:pPr>
            <w:r>
              <w:rPr>
                <w:rFonts w:ascii="仿宋" w:eastAsia="仿宋" w:hAnsi="仿宋" w:cs="仿宋" w:hint="eastAsia"/>
                <w:sz w:val="32"/>
                <w:szCs w:val="32"/>
              </w:rPr>
              <w:t>湖北</w:t>
            </w:r>
          </w:p>
        </w:tc>
        <w:tc>
          <w:tcPr>
            <w:tcW w:w="6360" w:type="dxa"/>
            <w:noWrap/>
            <w:vAlign w:val="center"/>
          </w:tcPr>
          <w:p w:rsidR="00856222" w:rsidRDefault="00856222" w:rsidP="00947953">
            <w:pPr>
              <w:kinsoku w:val="0"/>
              <w:overflowPunct w:val="0"/>
              <w:autoSpaceDE w:val="0"/>
              <w:autoSpaceDN w:val="0"/>
              <w:rPr>
                <w:rFonts w:ascii="仿宋" w:eastAsia="仿宋" w:hAnsi="仿宋" w:cs="仿宋"/>
                <w:sz w:val="32"/>
                <w:szCs w:val="32"/>
              </w:rPr>
            </w:pPr>
            <w:r>
              <w:rPr>
                <w:rFonts w:ascii="仿宋" w:eastAsia="仿宋" w:hAnsi="仿宋" w:cs="仿宋" w:hint="eastAsia"/>
                <w:sz w:val="32"/>
                <w:szCs w:val="32"/>
              </w:rPr>
              <w:t>湖北、河北、江西、山东、河南</w:t>
            </w:r>
          </w:p>
        </w:tc>
        <w:tc>
          <w:tcPr>
            <w:tcW w:w="1144" w:type="dxa"/>
            <w:noWrap/>
            <w:vAlign w:val="center"/>
          </w:tcPr>
          <w:p w:rsidR="00856222" w:rsidRDefault="00856222" w:rsidP="00947953">
            <w:pPr>
              <w:kinsoku w:val="0"/>
              <w:overflowPunct w:val="0"/>
              <w:autoSpaceDE w:val="0"/>
              <w:autoSpaceDN w:val="0"/>
              <w:jc w:val="center"/>
              <w:rPr>
                <w:rFonts w:ascii="仿宋" w:eastAsia="仿宋" w:hAnsi="仿宋" w:cs="仿宋"/>
                <w:sz w:val="32"/>
                <w:szCs w:val="32"/>
              </w:rPr>
            </w:pPr>
            <w:r>
              <w:rPr>
                <w:rFonts w:ascii="仿宋" w:eastAsia="仿宋" w:hAnsi="仿宋" w:cs="仿宋" w:hint="eastAsia"/>
                <w:sz w:val="32"/>
                <w:szCs w:val="32"/>
              </w:rPr>
              <w:t>5</w:t>
            </w:r>
          </w:p>
        </w:tc>
      </w:tr>
      <w:tr w:rsidR="00856222" w:rsidTr="00947953">
        <w:trPr>
          <w:trHeight w:val="1081"/>
        </w:trPr>
        <w:tc>
          <w:tcPr>
            <w:tcW w:w="1238" w:type="dxa"/>
            <w:noWrap/>
            <w:vAlign w:val="center"/>
          </w:tcPr>
          <w:p w:rsidR="00856222" w:rsidRDefault="00856222" w:rsidP="00947953">
            <w:pPr>
              <w:kinsoku w:val="0"/>
              <w:overflowPunct w:val="0"/>
              <w:autoSpaceDE w:val="0"/>
              <w:autoSpaceDN w:val="0"/>
              <w:jc w:val="center"/>
              <w:rPr>
                <w:rFonts w:ascii="仿宋" w:eastAsia="仿宋" w:hAnsi="仿宋" w:cs="仿宋"/>
                <w:sz w:val="32"/>
                <w:szCs w:val="32"/>
              </w:rPr>
            </w:pPr>
            <w:r>
              <w:rPr>
                <w:rFonts w:ascii="仿宋" w:eastAsia="仿宋" w:hAnsi="仿宋" w:cs="仿宋" w:hint="eastAsia"/>
                <w:sz w:val="32"/>
                <w:szCs w:val="32"/>
              </w:rPr>
              <w:lastRenderedPageBreak/>
              <w:t>内蒙古</w:t>
            </w:r>
          </w:p>
        </w:tc>
        <w:tc>
          <w:tcPr>
            <w:tcW w:w="6360" w:type="dxa"/>
            <w:noWrap/>
            <w:vAlign w:val="center"/>
          </w:tcPr>
          <w:p w:rsidR="00856222" w:rsidRDefault="00856222" w:rsidP="00947953">
            <w:pPr>
              <w:kinsoku w:val="0"/>
              <w:overflowPunct w:val="0"/>
              <w:autoSpaceDE w:val="0"/>
              <w:autoSpaceDN w:val="0"/>
              <w:rPr>
                <w:rFonts w:ascii="仿宋" w:eastAsia="仿宋" w:hAnsi="仿宋" w:cs="仿宋"/>
                <w:sz w:val="32"/>
                <w:szCs w:val="32"/>
              </w:rPr>
            </w:pPr>
            <w:r>
              <w:rPr>
                <w:rFonts w:ascii="仿宋" w:eastAsia="仿宋" w:hAnsi="仿宋" w:cs="仿宋" w:hint="eastAsia"/>
                <w:sz w:val="32"/>
                <w:szCs w:val="32"/>
              </w:rPr>
              <w:t>内蒙古、山西、吉林、黑龙江、江苏、宁夏、宁波</w:t>
            </w:r>
          </w:p>
        </w:tc>
        <w:tc>
          <w:tcPr>
            <w:tcW w:w="1144" w:type="dxa"/>
            <w:noWrap/>
            <w:vAlign w:val="center"/>
          </w:tcPr>
          <w:p w:rsidR="00856222" w:rsidRDefault="00856222" w:rsidP="00947953">
            <w:pPr>
              <w:kinsoku w:val="0"/>
              <w:overflowPunct w:val="0"/>
              <w:autoSpaceDE w:val="0"/>
              <w:autoSpaceDN w:val="0"/>
              <w:jc w:val="center"/>
              <w:rPr>
                <w:rFonts w:ascii="仿宋" w:eastAsia="仿宋" w:hAnsi="仿宋" w:cs="仿宋"/>
                <w:sz w:val="32"/>
                <w:szCs w:val="32"/>
              </w:rPr>
            </w:pPr>
            <w:r>
              <w:rPr>
                <w:rFonts w:ascii="仿宋" w:eastAsia="仿宋" w:hAnsi="仿宋" w:cs="仿宋" w:hint="eastAsia"/>
                <w:sz w:val="32"/>
                <w:szCs w:val="32"/>
              </w:rPr>
              <w:t>7</w:t>
            </w:r>
          </w:p>
        </w:tc>
      </w:tr>
      <w:tr w:rsidR="00856222" w:rsidTr="00947953">
        <w:trPr>
          <w:trHeight w:val="953"/>
        </w:trPr>
        <w:tc>
          <w:tcPr>
            <w:tcW w:w="1238" w:type="dxa"/>
            <w:noWrap/>
            <w:vAlign w:val="center"/>
          </w:tcPr>
          <w:p w:rsidR="00856222" w:rsidRDefault="00856222" w:rsidP="00947953">
            <w:pPr>
              <w:kinsoku w:val="0"/>
              <w:overflowPunct w:val="0"/>
              <w:autoSpaceDE w:val="0"/>
              <w:autoSpaceDN w:val="0"/>
              <w:jc w:val="center"/>
              <w:rPr>
                <w:rFonts w:ascii="仿宋" w:eastAsia="仿宋" w:hAnsi="仿宋" w:cs="仿宋"/>
                <w:sz w:val="32"/>
                <w:szCs w:val="32"/>
              </w:rPr>
            </w:pPr>
            <w:r>
              <w:rPr>
                <w:rFonts w:ascii="仿宋" w:eastAsia="仿宋" w:hAnsi="仿宋" w:cs="仿宋" w:hint="eastAsia"/>
                <w:sz w:val="32"/>
                <w:szCs w:val="32"/>
              </w:rPr>
              <w:t>海南</w:t>
            </w:r>
          </w:p>
        </w:tc>
        <w:tc>
          <w:tcPr>
            <w:tcW w:w="6360" w:type="dxa"/>
            <w:noWrap/>
            <w:vAlign w:val="center"/>
          </w:tcPr>
          <w:p w:rsidR="00856222" w:rsidRDefault="00856222" w:rsidP="00947953">
            <w:pPr>
              <w:kinsoku w:val="0"/>
              <w:overflowPunct w:val="0"/>
              <w:autoSpaceDE w:val="0"/>
              <w:autoSpaceDN w:val="0"/>
              <w:rPr>
                <w:rFonts w:ascii="仿宋" w:eastAsia="仿宋" w:hAnsi="仿宋" w:cs="仿宋"/>
                <w:sz w:val="32"/>
                <w:szCs w:val="32"/>
              </w:rPr>
            </w:pPr>
            <w:r>
              <w:rPr>
                <w:rFonts w:ascii="仿宋" w:eastAsia="仿宋" w:hAnsi="仿宋" w:cs="仿宋" w:hint="eastAsia"/>
                <w:sz w:val="32"/>
                <w:szCs w:val="32"/>
              </w:rPr>
              <w:t>海南、北京、天津、湖南、深圳、青岛</w:t>
            </w:r>
          </w:p>
        </w:tc>
        <w:tc>
          <w:tcPr>
            <w:tcW w:w="1144" w:type="dxa"/>
            <w:noWrap/>
            <w:vAlign w:val="center"/>
          </w:tcPr>
          <w:p w:rsidR="00856222" w:rsidRDefault="00856222" w:rsidP="00947953">
            <w:pPr>
              <w:kinsoku w:val="0"/>
              <w:overflowPunct w:val="0"/>
              <w:autoSpaceDE w:val="0"/>
              <w:autoSpaceDN w:val="0"/>
              <w:jc w:val="center"/>
              <w:rPr>
                <w:rFonts w:ascii="仿宋" w:eastAsia="仿宋" w:hAnsi="仿宋" w:cs="仿宋"/>
                <w:sz w:val="32"/>
                <w:szCs w:val="32"/>
              </w:rPr>
            </w:pPr>
            <w:r>
              <w:rPr>
                <w:rFonts w:ascii="仿宋" w:eastAsia="仿宋" w:hAnsi="仿宋" w:cs="仿宋" w:hint="eastAsia"/>
                <w:sz w:val="32"/>
                <w:szCs w:val="32"/>
              </w:rPr>
              <w:t>6</w:t>
            </w:r>
          </w:p>
        </w:tc>
      </w:tr>
      <w:tr w:rsidR="00856222" w:rsidTr="00947953">
        <w:tc>
          <w:tcPr>
            <w:tcW w:w="1238" w:type="dxa"/>
            <w:noWrap/>
            <w:vAlign w:val="center"/>
          </w:tcPr>
          <w:p w:rsidR="00856222" w:rsidRDefault="00856222" w:rsidP="00947953">
            <w:pPr>
              <w:kinsoku w:val="0"/>
              <w:overflowPunct w:val="0"/>
              <w:autoSpaceDE w:val="0"/>
              <w:autoSpaceDN w:val="0"/>
              <w:jc w:val="center"/>
              <w:rPr>
                <w:rFonts w:ascii="仿宋" w:eastAsia="仿宋" w:hAnsi="仿宋" w:cs="仿宋"/>
                <w:sz w:val="32"/>
                <w:szCs w:val="32"/>
              </w:rPr>
            </w:pPr>
            <w:r>
              <w:rPr>
                <w:rFonts w:ascii="仿宋" w:eastAsia="仿宋" w:hAnsi="仿宋" w:cs="仿宋" w:hint="eastAsia"/>
                <w:sz w:val="32"/>
                <w:szCs w:val="32"/>
              </w:rPr>
              <w:t>西藏</w:t>
            </w:r>
          </w:p>
        </w:tc>
        <w:tc>
          <w:tcPr>
            <w:tcW w:w="6360" w:type="dxa"/>
            <w:noWrap/>
            <w:vAlign w:val="center"/>
          </w:tcPr>
          <w:p w:rsidR="00856222" w:rsidRDefault="00856222" w:rsidP="00947953">
            <w:pPr>
              <w:kinsoku w:val="0"/>
              <w:overflowPunct w:val="0"/>
              <w:autoSpaceDE w:val="0"/>
              <w:autoSpaceDN w:val="0"/>
              <w:rPr>
                <w:rFonts w:ascii="仿宋" w:eastAsia="仿宋" w:hAnsi="仿宋" w:cs="仿宋"/>
                <w:sz w:val="32"/>
                <w:szCs w:val="32"/>
              </w:rPr>
            </w:pPr>
            <w:r>
              <w:rPr>
                <w:rFonts w:ascii="仿宋" w:eastAsia="仿宋" w:hAnsi="仿宋" w:cs="仿宋" w:hint="eastAsia"/>
                <w:sz w:val="32"/>
                <w:szCs w:val="32"/>
              </w:rPr>
              <w:t>西藏、辽宁、上海、安徽、甘肃、青海、新疆、大连</w:t>
            </w:r>
          </w:p>
        </w:tc>
        <w:tc>
          <w:tcPr>
            <w:tcW w:w="1144" w:type="dxa"/>
            <w:noWrap/>
            <w:vAlign w:val="center"/>
          </w:tcPr>
          <w:p w:rsidR="00856222" w:rsidRDefault="00856222" w:rsidP="00947953">
            <w:pPr>
              <w:kinsoku w:val="0"/>
              <w:overflowPunct w:val="0"/>
              <w:autoSpaceDE w:val="0"/>
              <w:autoSpaceDN w:val="0"/>
              <w:jc w:val="center"/>
              <w:rPr>
                <w:rFonts w:ascii="仿宋" w:eastAsia="仿宋" w:hAnsi="仿宋" w:cs="仿宋"/>
                <w:sz w:val="32"/>
                <w:szCs w:val="32"/>
              </w:rPr>
            </w:pPr>
            <w:r>
              <w:rPr>
                <w:rFonts w:ascii="仿宋" w:eastAsia="仿宋" w:hAnsi="仿宋" w:cs="仿宋" w:hint="eastAsia"/>
                <w:sz w:val="32"/>
                <w:szCs w:val="32"/>
              </w:rPr>
              <w:t>8</w:t>
            </w:r>
          </w:p>
        </w:tc>
      </w:tr>
    </w:tbl>
    <w:p w:rsidR="00856222" w:rsidRDefault="00856222" w:rsidP="00856222">
      <w:pPr>
        <w:overflowPunct w:val="0"/>
        <w:spacing w:line="600" w:lineRule="exact"/>
        <w:rPr>
          <w:rFonts w:eastAsia="黑体"/>
          <w:kern w:val="44"/>
          <w:sz w:val="32"/>
          <w:szCs w:val="24"/>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181610</wp:posOffset>
            </wp:positionV>
            <wp:extent cx="5413375" cy="4004310"/>
            <wp:effectExtent l="0" t="0" r="15875" b="152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413375" cy="4004310"/>
                    </a:xfrm>
                    <a:prstGeom prst="rect">
                      <a:avLst/>
                    </a:prstGeom>
                    <a:noFill/>
                    <a:ln>
                      <a:noFill/>
                    </a:ln>
                  </pic:spPr>
                </pic:pic>
              </a:graphicData>
            </a:graphic>
          </wp:anchor>
        </w:drawing>
      </w:r>
      <w:r>
        <w:rPr>
          <w:rFonts w:eastAsia="黑体"/>
          <w:kern w:val="44"/>
          <w:sz w:val="32"/>
          <w:szCs w:val="24"/>
        </w:rPr>
        <w:t>四、</w:t>
      </w:r>
      <w:r>
        <w:rPr>
          <w:rFonts w:eastAsia="黑体" w:hint="eastAsia"/>
          <w:kern w:val="44"/>
          <w:sz w:val="32"/>
          <w:szCs w:val="24"/>
        </w:rPr>
        <w:t>赛程及</w:t>
      </w:r>
      <w:r>
        <w:rPr>
          <w:rFonts w:eastAsia="黑体"/>
          <w:kern w:val="44"/>
          <w:sz w:val="32"/>
          <w:szCs w:val="24"/>
        </w:rPr>
        <w:t>竞赛规则</w:t>
      </w:r>
    </w:p>
    <w:p w:rsidR="00856222" w:rsidRDefault="00856222" w:rsidP="00856222">
      <w:pPr>
        <w:spacing w:line="560" w:lineRule="exact"/>
        <w:rPr>
          <w:rFonts w:eastAsia="楷体"/>
          <w:sz w:val="32"/>
          <w:szCs w:val="24"/>
        </w:rPr>
      </w:pPr>
      <w:r>
        <w:rPr>
          <w:rFonts w:eastAsia="楷体"/>
          <w:sz w:val="32"/>
          <w:szCs w:val="24"/>
        </w:rPr>
        <w:t>（一）初赛</w:t>
      </w:r>
      <w:r>
        <w:rPr>
          <w:rFonts w:eastAsia="楷体" w:hint="eastAsia"/>
          <w:sz w:val="32"/>
          <w:szCs w:val="24"/>
        </w:rPr>
        <w:t>——</w:t>
      </w:r>
      <w:r>
        <w:rPr>
          <w:rFonts w:eastAsia="楷体" w:hint="eastAsia"/>
          <w:sz w:val="32"/>
          <w:szCs w:val="24"/>
        </w:rPr>
        <w:t>H5</w:t>
      </w:r>
      <w:r>
        <w:rPr>
          <w:rFonts w:eastAsia="楷体" w:hint="eastAsia"/>
          <w:sz w:val="32"/>
          <w:szCs w:val="24"/>
        </w:rPr>
        <w:t>页面游戏网络答题</w:t>
      </w:r>
      <w:r>
        <w:rPr>
          <w:rFonts w:eastAsia="楷体"/>
          <w:sz w:val="32"/>
          <w:szCs w:val="24"/>
        </w:rPr>
        <w:t>（</w:t>
      </w:r>
      <w:r>
        <w:rPr>
          <w:rFonts w:eastAsia="楷体"/>
          <w:sz w:val="32"/>
          <w:szCs w:val="24"/>
        </w:rPr>
        <w:t>6</w:t>
      </w:r>
      <w:r>
        <w:rPr>
          <w:rFonts w:eastAsia="楷体"/>
          <w:sz w:val="32"/>
          <w:szCs w:val="24"/>
        </w:rPr>
        <w:t>周）</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参赛资格：社会公众</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形式：H5游戏页面线上答题，支持个人排位赛、PK对战赛、学习专区等玩法</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晋级规则：按活动规则决定全国、片区、赛区等排</w:t>
      </w:r>
      <w:r>
        <w:rPr>
          <w:rFonts w:ascii="仿宋_GB2312" w:eastAsia="仿宋_GB2312" w:hAnsi="仿宋_GB2312" w:cs="仿宋_GB2312" w:hint="eastAsia"/>
          <w:sz w:val="32"/>
          <w:szCs w:val="32"/>
        </w:rPr>
        <w:lastRenderedPageBreak/>
        <w:t>名</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奖励：按奖励规则发放答题奖金</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参赛渠道：辖区各市场主体可组织人员分别通过对应的</w:t>
      </w:r>
      <w:proofErr w:type="gramStart"/>
      <w:r>
        <w:rPr>
          <w:rFonts w:ascii="仿宋_GB2312" w:eastAsia="仿宋_GB2312" w:hAnsi="仿宋_GB2312" w:cs="仿宋_GB2312" w:hint="eastAsia"/>
          <w:sz w:val="32"/>
          <w:szCs w:val="32"/>
        </w:rPr>
        <w:t>二维码参赛</w:t>
      </w:r>
      <w:proofErr w:type="gramEnd"/>
    </w:p>
    <w:p w:rsidR="00856222" w:rsidRDefault="00856222" w:rsidP="00856222">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（1）上市公司</w:t>
      </w:r>
    </w:p>
    <w:p w:rsidR="00856222" w:rsidRDefault="00856222" w:rsidP="0085622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3124200" cy="3124200"/>
            <wp:effectExtent l="0" t="0" r="0" b="0"/>
            <wp:docPr id="15" name="图片 15" descr="7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1025"/>
                    <pic:cNvPicPr>
                      <a:picLocks noChangeAspect="1"/>
                    </pic:cNvPicPr>
                  </pic:nvPicPr>
                  <pic:blipFill>
                    <a:blip r:embed="rId6"/>
                    <a:stretch>
                      <a:fillRect/>
                    </a:stretch>
                  </pic:blipFill>
                  <pic:spPr>
                    <a:xfrm>
                      <a:off x="0" y="0"/>
                      <a:ext cx="3124200" cy="3124200"/>
                    </a:xfrm>
                    <a:prstGeom prst="rect">
                      <a:avLst/>
                    </a:prstGeom>
                  </pic:spPr>
                </pic:pic>
              </a:graphicData>
            </a:graphic>
          </wp:inline>
        </w:drawing>
      </w:r>
    </w:p>
    <w:p w:rsidR="00856222" w:rsidRDefault="00856222" w:rsidP="00856222">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（2）证券机构（不含中泰证券，其适用的</w:t>
      </w:r>
      <w:proofErr w:type="gramStart"/>
      <w:r>
        <w:rPr>
          <w:rFonts w:ascii="仿宋_GB2312" w:eastAsia="仿宋_GB2312" w:hAnsi="仿宋_GB2312" w:cs="仿宋_GB2312" w:hint="eastAsia"/>
          <w:sz w:val="32"/>
          <w:szCs w:val="32"/>
        </w:rPr>
        <w:t>二维码由</w:t>
      </w:r>
      <w:proofErr w:type="gramEnd"/>
      <w:r>
        <w:rPr>
          <w:rFonts w:ascii="仿宋_GB2312" w:eastAsia="仿宋_GB2312" w:hAnsi="仿宋_GB2312" w:cs="仿宋_GB2312" w:hint="eastAsia"/>
          <w:sz w:val="32"/>
          <w:szCs w:val="32"/>
        </w:rPr>
        <w:t>公司另行通知）</w:t>
      </w:r>
    </w:p>
    <w:p w:rsidR="00856222" w:rsidRDefault="00856222" w:rsidP="00856222">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3124200" cy="3124200"/>
            <wp:effectExtent l="0" t="0" r="0" b="0"/>
            <wp:docPr id="16" name="图片 16" descr="7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1022"/>
                    <pic:cNvPicPr>
                      <a:picLocks noChangeAspect="1"/>
                    </pic:cNvPicPr>
                  </pic:nvPicPr>
                  <pic:blipFill>
                    <a:blip r:embed="rId7"/>
                    <a:stretch>
                      <a:fillRect/>
                    </a:stretch>
                  </pic:blipFill>
                  <pic:spPr>
                    <a:xfrm>
                      <a:off x="0" y="0"/>
                      <a:ext cx="3124200" cy="3124200"/>
                    </a:xfrm>
                    <a:prstGeom prst="rect">
                      <a:avLst/>
                    </a:prstGeom>
                  </pic:spPr>
                </pic:pic>
              </a:graphicData>
            </a:graphic>
          </wp:inline>
        </w:drawing>
      </w:r>
    </w:p>
    <w:p w:rsidR="00856222" w:rsidRDefault="00856222" w:rsidP="00856222">
      <w:pPr>
        <w:spacing w:line="560" w:lineRule="exact"/>
        <w:ind w:firstLineChars="200" w:firstLine="640"/>
        <w:rPr>
          <w:rFonts w:ascii="仿宋_GB2312" w:eastAsia="仿宋_GB2312" w:hAnsi="仿宋_GB2312" w:cs="仿宋_GB2312"/>
          <w:sz w:val="32"/>
          <w:szCs w:val="32"/>
        </w:rPr>
      </w:pP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（3）期货机构（</w:t>
      </w:r>
      <w:proofErr w:type="gramStart"/>
      <w:r>
        <w:rPr>
          <w:rFonts w:ascii="仿宋_GB2312" w:eastAsia="仿宋_GB2312" w:hAnsi="仿宋_GB2312" w:cs="仿宋_GB2312" w:hint="eastAsia"/>
          <w:sz w:val="32"/>
          <w:szCs w:val="32"/>
        </w:rPr>
        <w:t>不含鲁证期货</w:t>
      </w:r>
      <w:proofErr w:type="gramEnd"/>
      <w:r>
        <w:rPr>
          <w:rFonts w:ascii="仿宋_GB2312" w:eastAsia="仿宋_GB2312" w:hAnsi="仿宋_GB2312" w:cs="仿宋_GB2312" w:hint="eastAsia"/>
          <w:sz w:val="32"/>
          <w:szCs w:val="32"/>
        </w:rPr>
        <w:t>，其适用的</w:t>
      </w:r>
      <w:proofErr w:type="gramStart"/>
      <w:r>
        <w:rPr>
          <w:rFonts w:ascii="仿宋_GB2312" w:eastAsia="仿宋_GB2312" w:hAnsi="仿宋_GB2312" w:cs="仿宋_GB2312" w:hint="eastAsia"/>
          <w:sz w:val="32"/>
          <w:szCs w:val="32"/>
        </w:rPr>
        <w:t>二维码由</w:t>
      </w:r>
      <w:proofErr w:type="gramEnd"/>
      <w:r>
        <w:rPr>
          <w:rFonts w:ascii="仿宋_GB2312" w:eastAsia="仿宋_GB2312" w:hAnsi="仿宋_GB2312" w:cs="仿宋_GB2312" w:hint="eastAsia"/>
          <w:sz w:val="32"/>
          <w:szCs w:val="32"/>
        </w:rPr>
        <w:t>公司另行通知）</w:t>
      </w:r>
    </w:p>
    <w:p w:rsidR="00856222" w:rsidRDefault="00856222" w:rsidP="00856222">
      <w:pPr>
        <w:ind w:firstLineChars="300" w:firstLine="960"/>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3124200" cy="3124200"/>
            <wp:effectExtent l="0" t="0" r="0" b="0"/>
            <wp:docPr id="17" name="图片 17" descr="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1023"/>
                    <pic:cNvPicPr>
                      <a:picLocks noChangeAspect="1"/>
                    </pic:cNvPicPr>
                  </pic:nvPicPr>
                  <pic:blipFill>
                    <a:blip r:embed="rId8"/>
                    <a:stretch>
                      <a:fillRect/>
                    </a:stretch>
                  </pic:blipFill>
                  <pic:spPr>
                    <a:xfrm>
                      <a:off x="0" y="0"/>
                      <a:ext cx="3124200" cy="3124200"/>
                    </a:xfrm>
                    <a:prstGeom prst="rect">
                      <a:avLst/>
                    </a:prstGeom>
                  </pic:spPr>
                </pic:pic>
              </a:graphicData>
            </a:graphic>
          </wp:inline>
        </w:drawing>
      </w:r>
    </w:p>
    <w:p w:rsidR="00856222" w:rsidRDefault="00856222" w:rsidP="00856222">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新三板挂牌公司</w:t>
      </w:r>
    </w:p>
    <w:p w:rsidR="00856222" w:rsidRDefault="00856222" w:rsidP="00856222">
      <w:pPr>
        <w:spacing w:line="560" w:lineRule="exact"/>
        <w:ind w:left="640"/>
        <w:rPr>
          <w:rFonts w:ascii="仿宋_GB2312" w:eastAsia="仿宋_GB2312" w:hAnsi="仿宋_GB2312" w:cs="仿宋_GB2312"/>
          <w:sz w:val="32"/>
          <w:szCs w:val="32"/>
        </w:rPr>
      </w:pPr>
    </w:p>
    <w:p w:rsidR="00856222" w:rsidRDefault="00856222" w:rsidP="00856222">
      <w:pPr>
        <w:ind w:firstLineChars="300" w:firstLine="960"/>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3124200" cy="3124200"/>
            <wp:effectExtent l="0" t="0" r="0" b="0"/>
            <wp:docPr id="18" name="图片 18" descr="7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71026"/>
                    <pic:cNvPicPr>
                      <a:picLocks noChangeAspect="1"/>
                    </pic:cNvPicPr>
                  </pic:nvPicPr>
                  <pic:blipFill>
                    <a:blip r:embed="rId9"/>
                    <a:stretch>
                      <a:fillRect/>
                    </a:stretch>
                  </pic:blipFill>
                  <pic:spPr>
                    <a:xfrm>
                      <a:off x="0" y="0"/>
                      <a:ext cx="3124200" cy="3124200"/>
                    </a:xfrm>
                    <a:prstGeom prst="rect">
                      <a:avLst/>
                    </a:prstGeom>
                  </pic:spPr>
                </pic:pic>
              </a:graphicData>
            </a:graphic>
          </wp:inline>
        </w:drawing>
      </w:r>
    </w:p>
    <w:p w:rsidR="00856222" w:rsidRDefault="00856222" w:rsidP="00856222">
      <w:pPr>
        <w:spacing w:line="560" w:lineRule="exact"/>
        <w:rPr>
          <w:rFonts w:ascii="仿宋_GB2312" w:eastAsia="仿宋_GB2312" w:hAnsi="仿宋_GB2312" w:cs="仿宋_GB2312"/>
          <w:sz w:val="32"/>
          <w:szCs w:val="32"/>
        </w:rPr>
      </w:pPr>
    </w:p>
    <w:p w:rsidR="00856222" w:rsidRDefault="00856222" w:rsidP="00856222">
      <w:pPr>
        <w:spacing w:line="560" w:lineRule="exact"/>
        <w:rPr>
          <w:rFonts w:ascii="仿宋_GB2312" w:eastAsia="仿宋_GB2312" w:hAnsi="仿宋_GB2312" w:cs="仿宋_GB2312"/>
          <w:sz w:val="32"/>
          <w:szCs w:val="32"/>
        </w:rPr>
      </w:pPr>
    </w:p>
    <w:p w:rsidR="00856222" w:rsidRDefault="00856222" w:rsidP="00856222">
      <w:pPr>
        <w:spacing w:line="560" w:lineRule="exact"/>
        <w:rPr>
          <w:rFonts w:ascii="仿宋_GB2312" w:eastAsia="仿宋_GB2312" w:hAnsi="仿宋_GB2312" w:cs="仿宋_GB2312"/>
          <w:sz w:val="32"/>
          <w:szCs w:val="32"/>
        </w:rPr>
      </w:pPr>
    </w:p>
    <w:p w:rsidR="00856222" w:rsidRDefault="00856222" w:rsidP="00856222">
      <w:pPr>
        <w:spacing w:line="560" w:lineRule="exact"/>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（5）基金及销售机构</w:t>
      </w:r>
    </w:p>
    <w:p w:rsidR="00856222" w:rsidRDefault="00856222" w:rsidP="00856222">
      <w:pPr>
        <w:spacing w:line="560" w:lineRule="exact"/>
        <w:rPr>
          <w:rFonts w:ascii="仿宋_GB2312" w:eastAsia="仿宋_GB2312" w:hAnsi="仿宋_GB2312" w:cs="仿宋_GB2312"/>
          <w:sz w:val="32"/>
          <w:szCs w:val="32"/>
        </w:rPr>
      </w:pPr>
    </w:p>
    <w:p w:rsidR="00856222" w:rsidRDefault="00856222" w:rsidP="00856222">
      <w:pPr>
        <w:ind w:firstLineChars="300" w:firstLine="960"/>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3124200" cy="3124200"/>
            <wp:effectExtent l="0" t="0" r="0" b="0"/>
            <wp:docPr id="19" name="图片 19" descr="7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71024"/>
                    <pic:cNvPicPr>
                      <a:picLocks noChangeAspect="1"/>
                    </pic:cNvPicPr>
                  </pic:nvPicPr>
                  <pic:blipFill>
                    <a:blip r:embed="rId10"/>
                    <a:stretch>
                      <a:fillRect/>
                    </a:stretch>
                  </pic:blipFill>
                  <pic:spPr>
                    <a:xfrm>
                      <a:off x="0" y="0"/>
                      <a:ext cx="3124200" cy="3124200"/>
                    </a:xfrm>
                    <a:prstGeom prst="rect">
                      <a:avLst/>
                    </a:prstGeom>
                  </pic:spPr>
                </pic:pic>
              </a:graphicData>
            </a:graphic>
          </wp:inline>
        </w:drawing>
      </w:r>
    </w:p>
    <w:p w:rsidR="00856222" w:rsidRDefault="00856222" w:rsidP="00856222">
      <w:pPr>
        <w:rPr>
          <w:rFonts w:ascii="仿宋_GB2312" w:eastAsia="仿宋_GB2312" w:hAnsi="仿宋_GB2312" w:cs="仿宋_GB2312"/>
          <w:sz w:val="32"/>
          <w:szCs w:val="32"/>
        </w:rPr>
      </w:pPr>
    </w:p>
    <w:p w:rsidR="00856222" w:rsidRDefault="00856222" w:rsidP="0085622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proofErr w:type="gramStart"/>
      <w:r>
        <w:rPr>
          <w:rFonts w:ascii="仿宋_GB2312" w:eastAsia="仿宋_GB2312" w:hAnsi="仿宋_GB2312" w:cs="仿宋_GB2312" w:hint="eastAsia"/>
          <w:sz w:val="32"/>
          <w:szCs w:val="32"/>
        </w:rPr>
        <w:t>投教基地</w:t>
      </w:r>
      <w:proofErr w:type="gramEnd"/>
    </w:p>
    <w:p w:rsidR="00856222" w:rsidRDefault="00856222" w:rsidP="00856222">
      <w:pPr>
        <w:spacing w:line="560" w:lineRule="exact"/>
        <w:ind w:left="640"/>
        <w:rPr>
          <w:rFonts w:ascii="仿宋_GB2312" w:eastAsia="仿宋_GB2312" w:hAnsi="仿宋_GB2312" w:cs="仿宋_GB2312"/>
          <w:sz w:val="32"/>
          <w:szCs w:val="32"/>
        </w:rPr>
      </w:pPr>
    </w:p>
    <w:p w:rsidR="00856222" w:rsidRDefault="00856222" w:rsidP="00856222">
      <w:pPr>
        <w:ind w:leftChars="305" w:left="640" w:firstLineChars="100" w:firstLine="320"/>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114300" distR="114300">
            <wp:extent cx="3124200" cy="3124200"/>
            <wp:effectExtent l="0" t="0" r="0" b="0"/>
            <wp:docPr id="20" name="图片 20" descr="7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71021"/>
                    <pic:cNvPicPr>
                      <a:picLocks noChangeAspect="1"/>
                    </pic:cNvPicPr>
                  </pic:nvPicPr>
                  <pic:blipFill>
                    <a:blip r:embed="rId11"/>
                    <a:stretch>
                      <a:fillRect/>
                    </a:stretch>
                  </pic:blipFill>
                  <pic:spPr>
                    <a:xfrm>
                      <a:off x="0" y="0"/>
                      <a:ext cx="3124200" cy="3124200"/>
                    </a:xfrm>
                    <a:prstGeom prst="rect">
                      <a:avLst/>
                    </a:prstGeom>
                  </pic:spPr>
                </pic:pic>
              </a:graphicData>
            </a:graphic>
          </wp:inline>
        </w:drawing>
      </w:r>
    </w:p>
    <w:p w:rsidR="00856222" w:rsidRDefault="00856222" w:rsidP="00856222">
      <w:pPr>
        <w:spacing w:line="560" w:lineRule="exact"/>
        <w:ind w:firstLineChars="300" w:firstLine="9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（7）其他</w:t>
      </w:r>
    </w:p>
    <w:p w:rsidR="00856222" w:rsidRDefault="00856222" w:rsidP="00856222">
      <w:pPr>
        <w:spacing w:line="560" w:lineRule="exact"/>
        <w:ind w:left="640"/>
        <w:rPr>
          <w:rFonts w:ascii="仿宋_GB2312" w:eastAsia="仿宋_GB2312" w:hAnsi="仿宋_GB2312" w:cs="仿宋_GB2312"/>
          <w:sz w:val="32"/>
          <w:szCs w:val="32"/>
        </w:rPr>
      </w:pPr>
    </w:p>
    <w:p w:rsidR="00856222" w:rsidRDefault="00856222" w:rsidP="00856222">
      <w:pPr>
        <w:ind w:firstLineChars="250" w:firstLine="800"/>
        <w:rPr>
          <w:rFonts w:ascii="仿宋_GB2312" w:eastAsia="仿宋_GB2312" w:hAnsi="仿宋_GB2312" w:cs="仿宋_GB2312"/>
          <w:sz w:val="32"/>
          <w:szCs w:val="32"/>
        </w:rPr>
      </w:pPr>
      <w:bookmarkStart w:id="0" w:name="_GoBack"/>
      <w:r>
        <w:rPr>
          <w:rFonts w:ascii="仿宋_GB2312" w:eastAsia="仿宋_GB2312" w:hAnsi="仿宋_GB2312" w:cs="仿宋_GB2312" w:hint="eastAsia"/>
          <w:noProof/>
          <w:sz w:val="32"/>
          <w:szCs w:val="32"/>
        </w:rPr>
        <w:drawing>
          <wp:inline distT="0" distB="0" distL="114300" distR="114300">
            <wp:extent cx="3124200" cy="3124200"/>
            <wp:effectExtent l="0" t="0" r="0" b="0"/>
            <wp:docPr id="21" name="图片 21" descr="7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71027"/>
                    <pic:cNvPicPr>
                      <a:picLocks noChangeAspect="1"/>
                    </pic:cNvPicPr>
                  </pic:nvPicPr>
                  <pic:blipFill>
                    <a:blip r:embed="rId12"/>
                    <a:stretch>
                      <a:fillRect/>
                    </a:stretch>
                  </pic:blipFill>
                  <pic:spPr>
                    <a:xfrm>
                      <a:off x="0" y="0"/>
                      <a:ext cx="3124200" cy="3124200"/>
                    </a:xfrm>
                    <a:prstGeom prst="rect">
                      <a:avLst/>
                    </a:prstGeom>
                  </pic:spPr>
                </pic:pic>
              </a:graphicData>
            </a:graphic>
          </wp:inline>
        </w:drawing>
      </w:r>
      <w:bookmarkEnd w:id="0"/>
    </w:p>
    <w:p w:rsidR="00856222" w:rsidRDefault="00856222" w:rsidP="00856222">
      <w:pPr>
        <w:spacing w:line="560" w:lineRule="exact"/>
        <w:rPr>
          <w:rFonts w:eastAsia="楷体" w:hint="eastAsia"/>
          <w:sz w:val="32"/>
          <w:szCs w:val="24"/>
        </w:rPr>
      </w:pPr>
      <w:r>
        <w:rPr>
          <w:rFonts w:eastAsia="楷体" w:hint="eastAsia"/>
          <w:sz w:val="32"/>
          <w:szCs w:val="24"/>
        </w:rPr>
        <w:t>（二）战队组建</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参赛资格：根据活动规则，初赛积分排名靠前的选手有机会参与所属片区战队成员选拔</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选拔方式：各片区自主选拔</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选拔结果：各片区按照不多于2名证券从业人员的要求分别选出5名选手（预留替补选手），组建战队参加决赛</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领队：每支战队需配备1名领队</w:t>
      </w:r>
    </w:p>
    <w:p w:rsidR="00856222" w:rsidRDefault="00856222" w:rsidP="00856222">
      <w:pPr>
        <w:spacing w:line="560" w:lineRule="exact"/>
        <w:rPr>
          <w:rFonts w:eastAsia="楷体"/>
          <w:sz w:val="32"/>
          <w:szCs w:val="24"/>
        </w:rPr>
      </w:pPr>
      <w:r>
        <w:rPr>
          <w:rFonts w:eastAsia="楷体"/>
          <w:sz w:val="32"/>
          <w:szCs w:val="24"/>
        </w:rPr>
        <w:t>（三）训练营</w:t>
      </w:r>
      <w:r>
        <w:rPr>
          <w:rFonts w:eastAsia="楷体" w:hint="eastAsia"/>
          <w:sz w:val="32"/>
          <w:szCs w:val="24"/>
        </w:rPr>
        <w:t>（</w:t>
      </w:r>
      <w:r>
        <w:rPr>
          <w:rFonts w:eastAsia="楷体" w:hint="eastAsia"/>
          <w:sz w:val="32"/>
          <w:szCs w:val="24"/>
        </w:rPr>
        <w:t>7</w:t>
      </w:r>
      <w:r>
        <w:rPr>
          <w:rFonts w:eastAsia="楷体" w:hint="eastAsia"/>
          <w:sz w:val="32"/>
          <w:szCs w:val="24"/>
        </w:rPr>
        <w:t>天）</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参与方式：6支战队拟于8月赴长沙进行集中培训并确定最终参赛阵容</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培训地点：《股东来了》训练营</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培训内容：舞台表现力、团队默契、知识强化、决赛规则等</w:t>
      </w:r>
    </w:p>
    <w:p w:rsidR="00856222" w:rsidRDefault="00856222" w:rsidP="00856222">
      <w:pPr>
        <w:spacing w:line="560" w:lineRule="exact"/>
        <w:rPr>
          <w:rFonts w:eastAsia="楷体"/>
          <w:sz w:val="32"/>
          <w:szCs w:val="24"/>
        </w:rPr>
      </w:pPr>
      <w:r>
        <w:rPr>
          <w:rFonts w:eastAsia="楷体"/>
          <w:sz w:val="32"/>
          <w:szCs w:val="24"/>
        </w:rPr>
        <w:lastRenderedPageBreak/>
        <w:t>（四）</w:t>
      </w:r>
      <w:r>
        <w:rPr>
          <w:rFonts w:eastAsia="楷体" w:hint="eastAsia"/>
          <w:sz w:val="32"/>
          <w:szCs w:val="24"/>
        </w:rPr>
        <w:t>总决赛</w:t>
      </w:r>
      <w:r>
        <w:rPr>
          <w:rFonts w:eastAsia="楷体"/>
          <w:sz w:val="32"/>
          <w:szCs w:val="24"/>
        </w:rPr>
        <w:t>（</w:t>
      </w:r>
      <w:r>
        <w:rPr>
          <w:rFonts w:eastAsia="楷体" w:hint="eastAsia"/>
          <w:sz w:val="32"/>
          <w:szCs w:val="24"/>
        </w:rPr>
        <w:t>1</w:t>
      </w:r>
      <w:r>
        <w:rPr>
          <w:rFonts w:eastAsia="楷体"/>
          <w:sz w:val="32"/>
          <w:szCs w:val="24"/>
        </w:rPr>
        <w:t>场）</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决赛拟于8月在长沙举行，6支战队通过一场总决赛角逐冠亚季军</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沿用答题竞赛模式，同时融入真人秀元素，在保证知识普及、传播的前提下对节目形式进行突破，总决赛方案另行制定</w:t>
      </w:r>
    </w:p>
    <w:p w:rsidR="00856222" w:rsidRDefault="00856222" w:rsidP="00856222">
      <w:pPr>
        <w:spacing w:line="560" w:lineRule="exact"/>
        <w:ind w:firstLineChars="200" w:firstLine="640"/>
        <w:rPr>
          <w:rFonts w:eastAsia="楷体"/>
          <w:sz w:val="32"/>
          <w:szCs w:val="24"/>
        </w:rPr>
      </w:pPr>
      <w:r>
        <w:rPr>
          <w:rFonts w:eastAsia="楷体"/>
          <w:sz w:val="32"/>
          <w:szCs w:val="24"/>
        </w:rPr>
        <w:t>（五）决赛播出</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总决赛电视节目拟于9月在湖南卫视、芒果TV等渠道播出。</w:t>
      </w:r>
    </w:p>
    <w:p w:rsidR="00856222" w:rsidRDefault="00856222" w:rsidP="00856222">
      <w:pPr>
        <w:overflowPunct w:val="0"/>
        <w:spacing w:line="600" w:lineRule="exact"/>
        <w:ind w:firstLineChars="200" w:firstLine="640"/>
        <w:outlineLvl w:val="0"/>
        <w:rPr>
          <w:rFonts w:eastAsia="黑体"/>
          <w:kern w:val="44"/>
          <w:sz w:val="32"/>
          <w:szCs w:val="22"/>
        </w:rPr>
      </w:pPr>
      <w:r>
        <w:rPr>
          <w:rFonts w:eastAsia="黑体" w:hint="eastAsia"/>
          <w:kern w:val="44"/>
          <w:sz w:val="32"/>
          <w:szCs w:val="22"/>
        </w:rPr>
        <w:t>五、奖项设置</w:t>
      </w:r>
    </w:p>
    <w:p w:rsidR="00856222" w:rsidRDefault="00856222" w:rsidP="00856222">
      <w:pPr>
        <w:overflowPunct w:val="0"/>
        <w:autoSpaceDE w:val="0"/>
        <w:autoSpaceDN w:val="0"/>
        <w:spacing w:line="600" w:lineRule="exact"/>
        <w:ind w:firstLineChars="200" w:firstLine="640"/>
        <w:rPr>
          <w:rFonts w:ascii="楷体" w:eastAsia="楷体" w:hAnsi="楷体" w:cs="楷体"/>
          <w:sz w:val="32"/>
          <w:szCs w:val="24"/>
        </w:rPr>
      </w:pPr>
      <w:r>
        <w:rPr>
          <w:rFonts w:ascii="楷体" w:eastAsia="楷体" w:hAnsi="楷体" w:cs="楷体" w:hint="eastAsia"/>
          <w:sz w:val="32"/>
          <w:szCs w:val="24"/>
        </w:rPr>
        <w:t>（一）组织奖项</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对于在本次活动中组织成效显著、竞赛成绩突出的赛区证监局、赛区协会、市场主体以及为</w:t>
      </w:r>
      <w:proofErr w:type="gramStart"/>
      <w:r>
        <w:rPr>
          <w:rFonts w:ascii="仿宋_GB2312" w:eastAsia="仿宋_GB2312" w:hAnsi="仿宋_GB2312" w:cs="仿宋_GB2312" w:hint="eastAsia"/>
          <w:sz w:val="32"/>
          <w:szCs w:val="32"/>
        </w:rPr>
        <w:t>活动宣推工作作出</w:t>
      </w:r>
      <w:proofErr w:type="gramEnd"/>
      <w:r>
        <w:rPr>
          <w:rFonts w:ascii="仿宋_GB2312" w:eastAsia="仿宋_GB2312" w:hAnsi="仿宋_GB2312" w:cs="仿宋_GB2312" w:hint="eastAsia"/>
          <w:sz w:val="32"/>
          <w:szCs w:val="32"/>
        </w:rPr>
        <w:t>贡献的媒体单位颁发荣誉证书。</w:t>
      </w:r>
    </w:p>
    <w:p w:rsidR="00856222" w:rsidRDefault="00856222" w:rsidP="00856222">
      <w:pPr>
        <w:overflowPunct w:val="0"/>
        <w:autoSpaceDE w:val="0"/>
        <w:autoSpaceDN w:val="0"/>
        <w:spacing w:line="600" w:lineRule="exact"/>
        <w:ind w:firstLineChars="200" w:firstLine="640"/>
        <w:rPr>
          <w:rFonts w:ascii="楷体" w:eastAsia="楷体" w:hAnsi="楷体" w:cs="楷体"/>
          <w:sz w:val="32"/>
          <w:szCs w:val="24"/>
        </w:rPr>
      </w:pPr>
      <w:r>
        <w:rPr>
          <w:rFonts w:ascii="楷体" w:eastAsia="楷体" w:hAnsi="楷体" w:cs="楷体" w:hint="eastAsia"/>
          <w:sz w:val="32"/>
          <w:szCs w:val="24"/>
        </w:rPr>
        <w:t>（二）个人</w:t>
      </w:r>
      <w:r>
        <w:rPr>
          <w:rFonts w:ascii="楷体" w:eastAsia="楷体" w:hAnsi="楷体" w:cs="楷体"/>
          <w:sz w:val="32"/>
          <w:szCs w:val="24"/>
        </w:rPr>
        <w:t>奖项</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根据活动规则，答题积分排名靠前的选手有机会获得现金奖励。</w:t>
      </w:r>
    </w:p>
    <w:p w:rsidR="00856222" w:rsidRDefault="00856222" w:rsidP="008562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根据活动规则，答题积分排名靠前的选手有机会获得荣誉证书奖励。</w:t>
      </w:r>
    </w:p>
    <w:p w:rsidR="002832C0" w:rsidRPr="00856222" w:rsidRDefault="002832C0"/>
    <w:sectPr w:rsidR="002832C0" w:rsidRPr="00856222" w:rsidSect="002832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741565"/>
    <w:multiLevelType w:val="singleLevel"/>
    <w:tmpl w:val="95741565"/>
    <w:lvl w:ilvl="0">
      <w:start w:val="4"/>
      <w:numFmt w:val="decimal"/>
      <w:suff w:val="nothing"/>
      <w:lvlText w:val="（%1）"/>
      <w:lvlJc w:val="left"/>
      <w:pPr>
        <w:ind w:left="64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6222"/>
    <w:rsid w:val="002832C0"/>
    <w:rsid w:val="008562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222"/>
    <w:pPr>
      <w:widowControl w:val="0"/>
      <w:jc w:val="both"/>
    </w:pPr>
    <w:rPr>
      <w:rFonts w:ascii="Times New Roman" w:eastAsia="宋体" w:hAnsi="Times New Roman" w:cs="Times New Roman"/>
      <w:szCs w:val="20"/>
    </w:rPr>
  </w:style>
  <w:style w:type="paragraph" w:styleId="1">
    <w:name w:val="heading 1"/>
    <w:basedOn w:val="a"/>
    <w:next w:val="a"/>
    <w:link w:val="1Char"/>
    <w:qFormat/>
    <w:rsid w:val="00856222"/>
    <w:pPr>
      <w:spacing w:line="600" w:lineRule="exact"/>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56222"/>
    <w:rPr>
      <w:rFonts w:ascii="Times New Roman" w:eastAsia="黑体" w:hAnsi="Times New Roman" w:cs="Times New Roman"/>
      <w:kern w:val="44"/>
      <w:sz w:val="32"/>
      <w:szCs w:val="20"/>
    </w:rPr>
  </w:style>
  <w:style w:type="table" w:styleId="a3">
    <w:name w:val="Table Grid"/>
    <w:basedOn w:val="a1"/>
    <w:qFormat/>
    <w:rsid w:val="0085622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56222"/>
    <w:rPr>
      <w:sz w:val="18"/>
      <w:szCs w:val="18"/>
    </w:rPr>
  </w:style>
  <w:style w:type="character" w:customStyle="1" w:styleId="Char">
    <w:name w:val="批注框文本 Char"/>
    <w:basedOn w:val="a0"/>
    <w:link w:val="a4"/>
    <w:uiPriority w:val="99"/>
    <w:semiHidden/>
    <w:rsid w:val="0085622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dell-user</dc:creator>
  <cp:lastModifiedBy>dell-user</cp:lastModifiedBy>
  <cp:revision>1</cp:revision>
  <dcterms:created xsi:type="dcterms:W3CDTF">2021-05-21T08:22:00Z</dcterms:created>
  <dcterms:modified xsi:type="dcterms:W3CDTF">2021-05-21T08:23:00Z</dcterms:modified>
</cp:coreProperties>
</file>